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5" w:rsidRPr="00410D8F" w:rsidRDefault="00A77D0A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Законодательство РФ и т</w:t>
      </w:r>
      <w:r w:rsidR="00145AC3" w:rsidRPr="00410D8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ехнологическое присоединение</w:t>
      </w:r>
    </w:p>
    <w:p w:rsidR="006239B5" w:rsidRPr="001B4348" w:rsidRDefault="00145AC3" w:rsidP="001B4348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Гражданский кодекс Российской Федерации (часть первая, часть вторая) от 30.01.1994 г. </w:t>
      </w:r>
      <w:r w:rsidRPr="001B434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 51-ФЗ</w:t>
      </w:r>
    </w:p>
    <w:p w:rsidR="006239B5" w:rsidRPr="001B4348" w:rsidRDefault="00145AC3" w:rsidP="001B4348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26.03.2003 г. </w:t>
      </w:r>
      <w:r w:rsidRPr="001B434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 35-ФЗ «Об электроэнергетике»</w:t>
      </w:r>
    </w:p>
    <w:p w:rsidR="006239B5" w:rsidRPr="001B4348" w:rsidRDefault="00145AC3" w:rsidP="001B4348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РФ от 27 декабря 2004 года N 861 «Об утверждении Правил </w:t>
      </w:r>
      <w:proofErr w:type="spellStart"/>
      <w:r w:rsidRPr="001B4348">
        <w:rPr>
          <w:rFonts w:ascii="Times New Roman" w:eastAsia="Calibri" w:hAnsi="Times New Roman" w:cs="Times New Roman"/>
          <w:sz w:val="24"/>
          <w:szCs w:val="24"/>
        </w:rPr>
        <w:t>недискриминационного</w:t>
      </w:r>
      <w:proofErr w:type="spellEnd"/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1B4348">
        <w:rPr>
          <w:rFonts w:ascii="Times New Roman" w:eastAsia="Calibri" w:hAnsi="Times New Roman" w:cs="Times New Roman"/>
          <w:sz w:val="24"/>
          <w:szCs w:val="24"/>
        </w:rPr>
        <w:t>недискриминационного</w:t>
      </w:r>
      <w:proofErr w:type="spellEnd"/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1B4348">
        <w:rPr>
          <w:rFonts w:ascii="Times New Roman" w:eastAsia="Calibri" w:hAnsi="Times New Roman" w:cs="Times New Roman"/>
          <w:sz w:val="24"/>
          <w:szCs w:val="24"/>
        </w:rPr>
        <w:t>недискриминационного</w:t>
      </w:r>
      <w:proofErr w:type="spellEnd"/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1B4348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 устройств потребителей</w:t>
      </w:r>
      <w:proofErr w:type="gramEnd"/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 электрической энергии, объектов по производству электрической энергии, а также объектов </w:t>
      </w:r>
      <w:proofErr w:type="spellStart"/>
      <w:r w:rsidRPr="001B4348">
        <w:rPr>
          <w:rFonts w:ascii="Times New Roman" w:eastAsia="Calibri" w:hAnsi="Times New Roman" w:cs="Times New Roman"/>
          <w:sz w:val="24"/>
          <w:szCs w:val="24"/>
        </w:rPr>
        <w:t>электросетевого</w:t>
      </w:r>
      <w:proofErr w:type="spellEnd"/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 в части: </w:t>
      </w:r>
    </w:p>
    <w:p w:rsidR="006239B5" w:rsidRPr="001B4348" w:rsidRDefault="00145AC3" w:rsidP="001B4348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- Правила </w:t>
      </w:r>
      <w:proofErr w:type="spellStart"/>
      <w:r w:rsidRPr="001B4348">
        <w:rPr>
          <w:rFonts w:ascii="Times New Roman" w:eastAsia="Calibri" w:hAnsi="Times New Roman" w:cs="Times New Roman"/>
          <w:sz w:val="24"/>
          <w:szCs w:val="24"/>
        </w:rPr>
        <w:t>недискриминационного</w:t>
      </w:r>
      <w:proofErr w:type="spellEnd"/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 доступа к услугам по передаче электрической энергии и оказания этих услуг; </w:t>
      </w:r>
    </w:p>
    <w:p w:rsidR="00410D8F" w:rsidRDefault="00145AC3" w:rsidP="001B43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- Правила технологического присоединения </w:t>
      </w:r>
      <w:proofErr w:type="spellStart"/>
      <w:r w:rsidRPr="001B4348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B4348">
        <w:rPr>
          <w:rFonts w:ascii="Times New Roman" w:eastAsia="Calibri" w:hAnsi="Times New Roman" w:cs="Times New Roman"/>
          <w:sz w:val="24"/>
          <w:szCs w:val="24"/>
        </w:rPr>
        <w:t>электросетевого</w:t>
      </w:r>
      <w:proofErr w:type="spellEnd"/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 (Правила). </w:t>
      </w:r>
    </w:p>
    <w:p w:rsidR="00410D8F" w:rsidRDefault="00145AC3" w:rsidP="00410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D8F">
        <w:rPr>
          <w:rFonts w:ascii="Times New Roman" w:eastAsia="Calibri" w:hAnsi="Times New Roman" w:cs="Times New Roman"/>
          <w:b/>
          <w:sz w:val="24"/>
          <w:szCs w:val="24"/>
        </w:rPr>
        <w:t>Технологическое присоединение</w:t>
      </w:r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 – это комплекс мероприятий, осуществляемый сетевой организацией на основании договора с заявителем </w:t>
      </w:r>
      <w:proofErr w:type="gramStart"/>
      <w:r w:rsidRPr="001B434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B434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10D8F" w:rsidRDefault="00410D8F" w:rsidP="00410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45AC3" w:rsidRPr="001B4348">
        <w:rPr>
          <w:rFonts w:ascii="Times New Roman" w:eastAsia="Calibri" w:hAnsi="Times New Roman" w:cs="Times New Roman"/>
          <w:sz w:val="24"/>
          <w:szCs w:val="24"/>
        </w:rPr>
        <w:t xml:space="preserve"> подготовке и выдаче технических условий;  </w:t>
      </w:r>
    </w:p>
    <w:p w:rsidR="00410D8F" w:rsidRDefault="00410D8F" w:rsidP="00410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45AC3" w:rsidRPr="001B4348">
        <w:rPr>
          <w:rFonts w:ascii="Times New Roman" w:eastAsia="Calibri" w:hAnsi="Times New Roman" w:cs="Times New Roman"/>
          <w:sz w:val="24"/>
          <w:szCs w:val="24"/>
        </w:rPr>
        <w:t xml:space="preserve">выполнению технических условий (со своей стороны);  </w:t>
      </w:r>
    </w:p>
    <w:p w:rsidR="00410D8F" w:rsidRDefault="00410D8F" w:rsidP="00410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45AC3" w:rsidRPr="001B4348">
        <w:rPr>
          <w:rFonts w:ascii="Times New Roman" w:eastAsia="Calibri" w:hAnsi="Times New Roman" w:cs="Times New Roman"/>
          <w:sz w:val="24"/>
          <w:szCs w:val="24"/>
        </w:rPr>
        <w:t xml:space="preserve">фактическому присоединению </w:t>
      </w:r>
      <w:proofErr w:type="spellStart"/>
      <w:r w:rsidR="00145AC3" w:rsidRPr="001B4348">
        <w:rPr>
          <w:rFonts w:ascii="Times New Roman" w:eastAsia="Calibri" w:hAnsi="Times New Roman" w:cs="Times New Roman"/>
          <w:sz w:val="24"/>
          <w:szCs w:val="24"/>
        </w:rPr>
        <w:t>энергопринимающего</w:t>
      </w:r>
      <w:proofErr w:type="spellEnd"/>
      <w:r w:rsidR="00145AC3" w:rsidRPr="001B4348">
        <w:rPr>
          <w:rFonts w:ascii="Times New Roman" w:eastAsia="Calibri" w:hAnsi="Times New Roman" w:cs="Times New Roman"/>
          <w:sz w:val="24"/>
          <w:szCs w:val="24"/>
        </w:rPr>
        <w:t xml:space="preserve"> устройства заявителя (электрические сети, находящиеся в жилом доме, гараже, и т.п.) к электрической сети сетевой организации;  </w:t>
      </w:r>
    </w:p>
    <w:p w:rsidR="00410D8F" w:rsidRDefault="00410D8F" w:rsidP="00410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45AC3" w:rsidRPr="001B4348">
        <w:rPr>
          <w:rFonts w:ascii="Times New Roman" w:eastAsia="Calibri" w:hAnsi="Times New Roman" w:cs="Times New Roman"/>
          <w:sz w:val="24"/>
          <w:szCs w:val="24"/>
        </w:rPr>
        <w:t xml:space="preserve">проверке выполнения технических условий;  </w:t>
      </w:r>
    </w:p>
    <w:p w:rsidR="006239B5" w:rsidRDefault="00410D8F" w:rsidP="00410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145AC3" w:rsidRPr="001B4348">
        <w:rPr>
          <w:rFonts w:ascii="Times New Roman" w:eastAsia="Calibri" w:hAnsi="Times New Roman" w:cs="Times New Roman"/>
          <w:sz w:val="24"/>
          <w:szCs w:val="24"/>
        </w:rPr>
        <w:t>составлению акта о технологичес</w:t>
      </w:r>
      <w:r>
        <w:rPr>
          <w:rFonts w:ascii="Times New Roman" w:eastAsia="Calibri" w:hAnsi="Times New Roman" w:cs="Times New Roman"/>
          <w:sz w:val="24"/>
          <w:szCs w:val="24"/>
        </w:rPr>
        <w:t>ком присоединении</w:t>
      </w:r>
    </w:p>
    <w:p w:rsidR="00410D8F" w:rsidRPr="001B4348" w:rsidRDefault="00410D8F" w:rsidP="00410D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6239B5" w:rsidRPr="00410D8F" w:rsidRDefault="00145AC3" w:rsidP="00410D8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D8F">
        <w:rPr>
          <w:rFonts w:ascii="Times New Roman" w:eastAsia="Calibri" w:hAnsi="Times New Roman" w:cs="Times New Roman"/>
          <w:b/>
          <w:sz w:val="24"/>
          <w:szCs w:val="24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сетям:</w:t>
      </w:r>
    </w:p>
    <w:p w:rsidR="006239B5" w:rsidRPr="00410D8F" w:rsidRDefault="00145AC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1. 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 заявителя;</w:t>
      </w:r>
    </w:p>
    <w:p w:rsidR="006239B5" w:rsidRPr="00410D8F" w:rsidRDefault="00145AC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2. заключение договора</w:t>
      </w:r>
      <w:r w:rsidR="00A77D0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технологического присоединения</w:t>
      </w:r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239B5" w:rsidRDefault="00145AC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3. выполнение сторонами договора мероприятий, предусмотренных договором;</w:t>
      </w:r>
    </w:p>
    <w:p w:rsidR="00A77D0A" w:rsidRDefault="00145AC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A77D0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проверка выполнения тех</w:t>
      </w:r>
      <w:r w:rsidR="002E7D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нических условий заявителя</w:t>
      </w:r>
    </w:p>
    <w:p w:rsidR="006239B5" w:rsidRPr="00410D8F" w:rsidRDefault="002E7D4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145AC3"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получение разрешения </w:t>
      </w:r>
      <w:hyperlink r:id="rId5">
        <w:r w:rsidR="00145AC3" w:rsidRPr="00410D8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</w:rPr>
          <w:t>орга</w:t>
        </w:r>
        <w:r w:rsidR="00410D8F" w:rsidRPr="00410D8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</w:rPr>
          <w:t>на Федерального</w:t>
        </w:r>
        <w:r w:rsidR="00145AC3" w:rsidRPr="00410D8F">
          <w:rPr>
            <w:rFonts w:ascii="Times New Roman" w:eastAsia="Arial" w:hAnsi="Times New Roman" w:cs="Times New Roman"/>
            <w:sz w:val="24"/>
            <w:szCs w:val="24"/>
            <w:shd w:val="clear" w:color="auto" w:fill="FFFFFF"/>
          </w:rPr>
          <w:t xml:space="preserve"> государственного энергетического надзора</w:t>
        </w:r>
      </w:hyperlink>
      <w:r w:rsidR="00145AC3" w:rsidRPr="00410D8F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 на допуск к эксплуатации объектов заявителя, за исключением:</w:t>
      </w:r>
    </w:p>
    <w:p w:rsidR="006239B5" w:rsidRPr="00410D8F" w:rsidRDefault="00145AC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объектов лиц, максимальная мощность </w:t>
      </w:r>
      <w:proofErr w:type="spellStart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 которых составляет свыше 150 кВт и менее 670 кВт,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 кВ включительно,</w:t>
      </w:r>
    </w:p>
    <w:p w:rsidR="006239B5" w:rsidRPr="00410D8F" w:rsidRDefault="00145AC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объектов лиц, в целях технологического присоединения по одному источнику электроснабжения </w:t>
      </w:r>
      <w:proofErr w:type="spellStart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максимальная мощность которых составляет до 150 к</w:t>
      </w:r>
      <w:proofErr w:type="gramStart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Вт вкл</w:t>
      </w:r>
      <w:proofErr w:type="gramEnd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ючительно (с учетом ранее присоединенных в данной точке присоединения </w:t>
      </w:r>
      <w:proofErr w:type="spellStart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устройств)</w:t>
      </w:r>
    </w:p>
    <w:p w:rsidR="006239B5" w:rsidRPr="00410D8F" w:rsidRDefault="00145AC3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800080"/>
          <w:sz w:val="24"/>
          <w:szCs w:val="24"/>
          <w:shd w:val="clear" w:color="auto" w:fill="FFFFFF"/>
        </w:rPr>
      </w:pPr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            - объектов лиц, в целях временного технологического присоединения, </w:t>
      </w:r>
    </w:p>
    <w:p w:rsidR="006239B5" w:rsidRPr="00410D8F" w:rsidRDefault="00145AC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объектов лиц, в целях технологического присоединения </w:t>
      </w:r>
      <w:proofErr w:type="spellStart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устройств), которые используются для бытовых и 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proofErr w:type="gramEnd"/>
    </w:p>
    <w:p w:rsidR="006239B5" w:rsidRPr="00410D8F" w:rsidRDefault="002E7D4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45AC3"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 осуществление сетевой организацией фактического присоединения объектов заявителя к электрическим сетям (комплекс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="00145AC3"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электросетевого</w:t>
      </w:r>
      <w:proofErr w:type="spellEnd"/>
      <w:r w:rsidR="00145AC3"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хозяйства сетевой организации, в которую была подана заявка, и объектов заявителя (</w:t>
      </w:r>
      <w:proofErr w:type="spellStart"/>
      <w:r w:rsidR="00145AC3"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="00145AC3"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устройств) без осуществления фактической подачи (приема) напряжения и мощности на объекты заявителя (фиксация коммутационного аппарата в положении "отключено");</w:t>
      </w:r>
      <w:proofErr w:type="gramEnd"/>
    </w:p>
    <w:p w:rsidR="006239B5" w:rsidRPr="00410D8F" w:rsidRDefault="00145AC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    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6239B5" w:rsidRPr="00410D8F" w:rsidRDefault="002E7D4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145AC3"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составление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ответственности, а также акта согласования технологической и (или) аварийной брони (при осуществлении технологического присоединения к объектам </w:t>
      </w:r>
      <w:proofErr w:type="spellStart"/>
      <w:r w:rsidR="00145AC3"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электросетевого</w:t>
      </w:r>
      <w:proofErr w:type="spellEnd"/>
      <w:r w:rsidR="00145AC3"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хозяйства </w:t>
      </w:r>
      <w:proofErr w:type="spellStart"/>
      <w:r w:rsidR="00145AC3"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="00145AC3" w:rsidRPr="00410D8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последствиям).</w:t>
      </w:r>
      <w:proofErr w:type="gramEnd"/>
    </w:p>
    <w:p w:rsidR="006239B5" w:rsidRPr="00410D8F" w:rsidRDefault="006239B5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6239B5" w:rsidRPr="00410D8F" w:rsidRDefault="00145AC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410D8F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Возможности подачи заявки на осуществление технологического присоединения </w:t>
      </w:r>
      <w:proofErr w:type="spellStart"/>
      <w:r w:rsidRPr="00410D8F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энергопринимающих</w:t>
      </w:r>
      <w:proofErr w:type="spellEnd"/>
      <w:r w:rsidRPr="00410D8F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устройств заявителей</w:t>
      </w:r>
    </w:p>
    <w:p w:rsidR="006239B5" w:rsidRDefault="006239B5">
      <w:pPr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6239B5" w:rsidRPr="00BE6BC5" w:rsidRDefault="00145AC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Для заключения договора заявитель направляет заявку в сетевую организацию, объекты </w:t>
      </w:r>
      <w:proofErr w:type="spellStart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электросетевого</w:t>
      </w:r>
      <w:proofErr w:type="spellEnd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хозяйства которой расположены на наименьшем расстоянии от границ участка заявителя. Если на расстоянии менее 300 метров от границ участка заявителя находятся объекты </w:t>
      </w:r>
      <w:proofErr w:type="spellStart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электросетевого</w:t>
      </w:r>
      <w:proofErr w:type="spellEnd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хозяйства нескольких сетевых организаций, заявитель вправе направить заявку в любую из них. Эти положения не распространяются на заявителей, имеющих намерение осуществить технологическое присоединение </w:t>
      </w:r>
      <w:proofErr w:type="spellStart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 по </w:t>
      </w:r>
      <w:proofErr w:type="gramStart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индивидуальному проекту</w:t>
      </w:r>
      <w:proofErr w:type="gramEnd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6239B5" w:rsidRPr="00BE6BC5" w:rsidRDefault="00145AC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Подача в отношении одних и тех же </w:t>
      </w:r>
      <w:proofErr w:type="spellStart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 одновременно 2 и более заявок в разные сетевые организации не допускается, за исключением случаев технологического присоединения </w:t>
      </w:r>
      <w:proofErr w:type="spellStart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 </w:t>
      </w:r>
      <w:proofErr w:type="gramStart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направления заявителем 2 и более заявок в разные сетевые организации для технологического присоединения </w:t>
      </w:r>
      <w:proofErr w:type="spellStart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</w:t>
      </w:r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электроснабжения, заявитель в течение 3 рабочих дней со дня направления второй и последующих заявок обязан уведомить об этом каждую сетевую организацию, в которую направлена заявка.</w:t>
      </w:r>
      <w:proofErr w:type="gramEnd"/>
    </w:p>
    <w:p w:rsidR="006239B5" w:rsidRPr="00BE6BC5" w:rsidRDefault="00145AC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Заявка направляется заявителем в сетевую организацию в 2 экземплярах письмом с описью вложения. 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 </w:t>
      </w:r>
    </w:p>
    <w:p w:rsidR="006239B5" w:rsidRPr="00BE6BC5" w:rsidRDefault="00145AC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Заявители, к которым относятся:</w:t>
      </w:r>
    </w:p>
    <w:p w:rsidR="006239B5" w:rsidRPr="00BE6BC5" w:rsidRDefault="00145A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E6B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юридическое лицо или индивидуальный предприниматель в целях технологического присоединения по одному источнику электроснабжения </w:t>
      </w:r>
      <w:proofErr w:type="spellStart"/>
      <w:r w:rsidRPr="00BE6BC5">
        <w:rPr>
          <w:rFonts w:ascii="Times New Roman" w:eastAsia="Arial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BE6B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устройств, максимальная мощность которых составляет до 150 к</w:t>
      </w:r>
      <w:proofErr w:type="gramStart"/>
      <w:r w:rsidRPr="00BE6BC5">
        <w:rPr>
          <w:rFonts w:ascii="Times New Roman" w:eastAsia="Arial" w:hAnsi="Times New Roman" w:cs="Times New Roman"/>
          <w:color w:val="000000"/>
          <w:sz w:val="24"/>
          <w:szCs w:val="24"/>
        </w:rPr>
        <w:t>Вт вкл</w:t>
      </w:r>
      <w:proofErr w:type="gramEnd"/>
      <w:r w:rsidRPr="00BE6B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Pr="00BE6BC5">
        <w:rPr>
          <w:rFonts w:ascii="Times New Roman" w:eastAsia="Arial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BE6B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устройств),</w:t>
      </w:r>
    </w:p>
    <w:p w:rsidR="006239B5" w:rsidRPr="00BE6BC5" w:rsidRDefault="00145AC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E6B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лицо в целях временного технологического присоединения, </w:t>
      </w:r>
    </w:p>
    <w:p w:rsidR="00BE6BC5" w:rsidRDefault="00145AC3" w:rsidP="00BE6BC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 физическое лицо в целях технологического присоединения </w:t>
      </w:r>
      <w:proofErr w:type="spellStart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устройств), которые используются для бытовых и иных нужд, не связанных с осуществлением предпринимательской деятельности, и электроснабжение которых предусматривается по одному источник</w:t>
      </w:r>
      <w:r w:rsid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</w:p>
    <w:p w:rsidR="00BE6BC5" w:rsidRDefault="00BE6BC5" w:rsidP="00BE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5AC3"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осуществления технологического присоединения </w:t>
      </w:r>
      <w:proofErr w:type="spellStart"/>
      <w:r w:rsidR="00145AC3"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="00145AC3"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ТСО ООО "</w:t>
      </w:r>
      <w:proofErr w:type="spellStart"/>
      <w:r w:rsidR="00145AC3"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Калиновское</w:t>
      </w:r>
      <w:proofErr w:type="spellEnd"/>
      <w:r w:rsidR="00145AC3"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6" w:history="1">
        <w:r w:rsidRPr="00BE6BC5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E6BC5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6BC5">
          <w:rPr>
            <w:rFonts w:ascii="Times New Roman" w:hAnsi="Times New Roman" w:cs="Times New Roman"/>
            <w:sz w:val="24"/>
            <w:szCs w:val="24"/>
            <w:lang w:val="en-US"/>
          </w:rPr>
          <w:t>kalinovskoe</w:t>
        </w:r>
        <w:proofErr w:type="spellEnd"/>
        <w:r w:rsidRPr="00BE6BC5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6BC5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E6B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Для этого необходимо зайти на сайт, зарегистрироваться в личном кабинете и отправить заявку с приложением необходимых документов.</w:t>
      </w:r>
    </w:p>
    <w:p w:rsidR="006239B5" w:rsidRDefault="00145AC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E6B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:rsidR="00BE6BC5" w:rsidRDefault="00BE6BC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6A107F" w:rsidRPr="006A107F" w:rsidRDefault="006A107F" w:rsidP="006A10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заявке, направляемой заявителем -</w:t>
      </w:r>
      <w:r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юридическим лицом или индивидуальным предпринимателем, максимальная мощность </w:t>
      </w:r>
      <w:proofErr w:type="spellStart"/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энергопринимающих</w:t>
      </w:r>
      <w:proofErr w:type="spellEnd"/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устройств</w:t>
      </w:r>
      <w:proofErr w:type="gramEnd"/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которых составляет свыше 150 кВт и менее 670 кВт, должны быть указаны: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 - 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наименование и место нахождения </w:t>
      </w:r>
      <w:proofErr w:type="spell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устройств, которые необходимо присоединить к электрическим сетям сетевой организации;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в) место нахождения заявителя;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количество точек присоединения с указанием технических параметров элементов </w:t>
      </w:r>
      <w:proofErr w:type="spell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устройств;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заявляемый уровень надежности </w:t>
      </w:r>
      <w:proofErr w:type="spell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устройств;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сроки проектирования и поэтапного введения в эксплуатацию </w:t>
      </w:r>
      <w:proofErr w:type="spell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 (в том числе по этапам и очередям);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планируемое распределение максимальной мощности, сроков ввода, набора нагрузки и сведения о категории надежности электроснабжения при вводе </w:t>
      </w:r>
      <w:proofErr w:type="spell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 по этапам и очередям;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proofErr w:type="spellEnd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</w:t>
      </w:r>
    </w:p>
    <w:p w:rsidR="006A107F" w:rsidRPr="006A107F" w:rsidRDefault="005D2502" w:rsidP="006A10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запрашиваемая максимальная мощность </w:t>
      </w:r>
      <w:proofErr w:type="spellStart"/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 заявителя;</w:t>
      </w:r>
    </w:p>
    <w:p w:rsidR="006A107F" w:rsidRPr="005D2502" w:rsidRDefault="005D2502" w:rsidP="006A10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>) характер нагрузки (вид производственной деятельности).</w:t>
      </w:r>
    </w:p>
    <w:p w:rsidR="006A107F" w:rsidRPr="006A107F" w:rsidRDefault="006A107F" w:rsidP="006A10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заявке, направляемой заявителем -</w:t>
      </w:r>
      <w:r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юридическим лицом или индивидуальным предпринимателем в целях технологического присоединения по одному источнику электроснабжения </w:t>
      </w:r>
      <w:proofErr w:type="spellStart"/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энергопринимающих</w:t>
      </w:r>
      <w:proofErr w:type="spellEnd"/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устройств, максимальная мощность которых составляет до 150 к</w:t>
      </w:r>
      <w:proofErr w:type="gramStart"/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 вкл</w:t>
      </w:r>
      <w:proofErr w:type="gramEnd"/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энергопринимающих</w:t>
      </w:r>
      <w:proofErr w:type="spellEnd"/>
      <w:r w:rsidRPr="006A1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устройств), должны быть указаны: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 - 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наименование и место нахождения </w:t>
      </w:r>
      <w:proofErr w:type="spell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устройств, которые необходимо присоединить к электрическим сетям сетевой организации;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в) место нахождения заявителя;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сроки проектирования и поэтапного введения в эксплуатацию </w:t>
      </w:r>
      <w:proofErr w:type="spell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 (в том числе по этапам и очередям);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планируемое распределение максимальной мощности, сроков ввода, набора нагрузки и сведения о категории надежности электроснабжения при вводе </w:t>
      </w:r>
      <w:proofErr w:type="spell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 по этапам и очередям;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</w:t>
      </w:r>
    </w:p>
    <w:p w:rsidR="006A107F" w:rsidRPr="006A107F" w:rsidRDefault="005D2502" w:rsidP="006A10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запрашиваемая максимальная мощность присоединяемых </w:t>
      </w:r>
      <w:proofErr w:type="spellStart"/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 заявителя;</w:t>
      </w:r>
    </w:p>
    <w:p w:rsidR="006A107F" w:rsidRPr="006A107F" w:rsidRDefault="005D2502" w:rsidP="006A10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>) характер нагрузки (вид экономической деятельности хозяйствующего субъекта);</w:t>
      </w:r>
    </w:p>
    <w:p w:rsidR="006A107F" w:rsidRPr="006A107F" w:rsidRDefault="005D2502" w:rsidP="006A10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>) предложения по порядку расчетов и условиям рассрочки платежа за технологическое присоединение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для заявителей, максимальная мощность </w:t>
      </w:r>
      <w:proofErr w:type="spellStart"/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 которых составляет свыше 15 и до 150 к</w:t>
      </w:r>
      <w:proofErr w:type="gramStart"/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>Вт вкл</w:t>
      </w:r>
      <w:proofErr w:type="gramEnd"/>
      <w:r w:rsidR="006A107F" w:rsidRPr="006A107F">
        <w:rPr>
          <w:rFonts w:ascii="Times New Roman" w:eastAsia="Times New Roman" w:hAnsi="Times New Roman" w:cs="Times New Roman"/>
          <w:color w:val="000000"/>
          <w:sz w:val="24"/>
          <w:szCs w:val="24"/>
        </w:rPr>
        <w:t>ючительно.</w:t>
      </w:r>
    </w:p>
    <w:p w:rsidR="006A107F" w:rsidRDefault="006A107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5D2502" w:rsidRPr="005D2502" w:rsidRDefault="005D2502" w:rsidP="005D2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заявке, направляемой заявителем в целях временного технологического присоединения,</w:t>
      </w: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25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указывается: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 - 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наименование и место нахождения </w:t>
      </w:r>
      <w:proofErr w:type="spell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устройств, которые необходимо присоединить к электрическим сетям сетевой организации;</w:t>
      </w:r>
    </w:p>
    <w:p w:rsidR="005D2502" w:rsidRPr="005D2502" w:rsidRDefault="005D2502" w:rsidP="005D25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в) место нахождения заявителя;</w:t>
      </w:r>
    </w:p>
    <w:p w:rsidR="005D2502" w:rsidRPr="005D2502" w:rsidRDefault="005D2502" w:rsidP="005D2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запрашиваемая максимальная мощность присоединяемых </w:t>
      </w:r>
      <w:proofErr w:type="spellStart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устройств;</w:t>
      </w:r>
    </w:p>
    <w:p w:rsidR="005D2502" w:rsidRPr="005D2502" w:rsidRDefault="00056975" w:rsidP="005D2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5D2502"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нагрузки;</w:t>
      </w:r>
    </w:p>
    <w:p w:rsidR="005D2502" w:rsidRPr="005D2502" w:rsidRDefault="00056975" w:rsidP="005D2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е) </w:t>
      </w:r>
      <w:r w:rsidR="005D2502"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электроснабжения </w:t>
      </w:r>
      <w:proofErr w:type="spellStart"/>
      <w:r w:rsidR="005D2502"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="005D2502"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 по временной схеме электроснабжения (для заявителей, </w:t>
      </w:r>
      <w:proofErr w:type="spellStart"/>
      <w:r w:rsidR="005D2502"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энергопринимающие</w:t>
      </w:r>
      <w:proofErr w:type="spellEnd"/>
      <w:r w:rsidR="005D2502"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устройства которых являются передвижными и имеют максимальную мощность до 150 к</w:t>
      </w:r>
      <w:proofErr w:type="gramStart"/>
      <w:r w:rsidR="005D2502"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Вт вкл</w:t>
      </w:r>
      <w:proofErr w:type="gramEnd"/>
      <w:r w:rsidR="005D2502"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t>ючительно).</w:t>
      </w:r>
    </w:p>
    <w:p w:rsidR="00056975" w:rsidRDefault="005D2502" w:rsidP="00056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25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5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proofErr w:type="gramStart"/>
      <w:r w:rsidR="00056975" w:rsidRPr="00056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заявке, направляемой заявителем - физическим лицом в целях технологического присоединения </w:t>
      </w:r>
      <w:proofErr w:type="spellStart"/>
      <w:r w:rsidR="00056975" w:rsidRPr="00056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энергопринимающих</w:t>
      </w:r>
      <w:proofErr w:type="spellEnd"/>
      <w:r w:rsidR="00056975" w:rsidRPr="00056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="00056975" w:rsidRPr="00056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энергопринимающих</w:t>
      </w:r>
      <w:proofErr w:type="spellEnd"/>
      <w:r w:rsidR="00056975" w:rsidRPr="00056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устройств), которые используются для бытовых и 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</w:t>
      </w:r>
      <w:proofErr w:type="gramEnd"/>
    </w:p>
    <w:p w:rsidR="00B7546C" w:rsidRPr="00056975" w:rsidRDefault="00B7546C" w:rsidP="00056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6975" w:rsidRPr="00056975" w:rsidRDefault="00056975" w:rsidP="000569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975">
        <w:rPr>
          <w:rFonts w:ascii="Times New Roman" w:eastAsia="Times New Roman" w:hAnsi="Times New Roman" w:cs="Times New Roman"/>
          <w:color w:val="000000"/>
          <w:sz w:val="24"/>
          <w:szCs w:val="24"/>
        </w:rPr>
        <w:t>а) 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056975" w:rsidRPr="00056975" w:rsidRDefault="00056975" w:rsidP="000569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975">
        <w:rPr>
          <w:rFonts w:ascii="Times New Roman" w:eastAsia="Times New Roman" w:hAnsi="Times New Roman" w:cs="Times New Roman"/>
          <w:color w:val="000000"/>
          <w:sz w:val="24"/>
          <w:szCs w:val="24"/>
        </w:rPr>
        <w:t>б) место жительства заявителя;</w:t>
      </w:r>
    </w:p>
    <w:p w:rsidR="00056975" w:rsidRPr="00056975" w:rsidRDefault="00056975" w:rsidP="0005697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6975">
        <w:rPr>
          <w:color w:val="000000"/>
        </w:rPr>
        <w:t>в) </w:t>
      </w:r>
      <w:r w:rsidRPr="00056975">
        <w:rPr>
          <w:color w:val="000000"/>
          <w:shd w:val="clear" w:color="auto" w:fill="FFFFFF"/>
        </w:rPr>
        <w:t xml:space="preserve">наименование и место нахождения </w:t>
      </w:r>
      <w:proofErr w:type="spellStart"/>
      <w:r w:rsidRPr="00056975">
        <w:rPr>
          <w:color w:val="000000"/>
          <w:shd w:val="clear" w:color="auto" w:fill="FFFFFF"/>
        </w:rPr>
        <w:t>энергопринимающих</w:t>
      </w:r>
      <w:proofErr w:type="spellEnd"/>
      <w:r w:rsidRPr="00056975">
        <w:rPr>
          <w:color w:val="000000"/>
          <w:shd w:val="clear" w:color="auto" w:fill="FFFFFF"/>
        </w:rPr>
        <w:t xml:space="preserve"> устройств, которые необходимо присоединить к электрическим сетям сетевой организации;</w:t>
      </w:r>
      <w:r w:rsidRPr="00056975">
        <w:rPr>
          <w:color w:val="000000"/>
        </w:rPr>
        <w:br/>
        <w:t xml:space="preserve">и) сроки проектирования и поэтапного введения в эксплуатацию </w:t>
      </w:r>
      <w:proofErr w:type="spellStart"/>
      <w:r w:rsidRPr="00056975">
        <w:rPr>
          <w:color w:val="000000"/>
        </w:rPr>
        <w:t>энергопринимающих</w:t>
      </w:r>
      <w:proofErr w:type="spellEnd"/>
      <w:r w:rsidRPr="00056975">
        <w:rPr>
          <w:color w:val="000000"/>
        </w:rPr>
        <w:t xml:space="preserve"> устройств (в том числе по этапам и очередям);</w:t>
      </w:r>
    </w:p>
    <w:p w:rsidR="00056975" w:rsidRPr="00056975" w:rsidRDefault="00056975" w:rsidP="000569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56975">
        <w:rPr>
          <w:rFonts w:ascii="Times New Roman" w:eastAsia="Times New Roman" w:hAnsi="Times New Roman" w:cs="Times New Roman"/>
          <w:color w:val="000000"/>
          <w:sz w:val="24"/>
          <w:szCs w:val="24"/>
        </w:rPr>
        <w:t>) 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</w:r>
    </w:p>
    <w:p w:rsidR="00056975" w:rsidRPr="00056975" w:rsidRDefault="00056975" w:rsidP="000569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56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запрашиваемая максимальная мощность </w:t>
      </w:r>
      <w:proofErr w:type="spellStart"/>
      <w:r w:rsidRPr="00056975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056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 заявителя.</w:t>
      </w:r>
    </w:p>
    <w:p w:rsidR="006A107F" w:rsidRDefault="006A107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056975" w:rsidRPr="00056975" w:rsidRDefault="000569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6975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Перечень документов от юридических лиц, прилагаемых к заявке на выдачу разрешения на присоединение мощности для первичного подключения: </w:t>
      </w:r>
    </w:p>
    <w:p w:rsidR="00056975" w:rsidRPr="00056975" w:rsidRDefault="000569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6975" w:rsidRPr="001B4348" w:rsidRDefault="00056975" w:rsidP="000569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а) план расположения </w:t>
      </w:r>
      <w:proofErr w:type="spellStart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которые необходимо присоединить к электрическим сетям сетевой организации;</w:t>
      </w:r>
    </w:p>
    <w:p w:rsidR="00056975" w:rsidRPr="001B4348" w:rsidRDefault="00056975" w:rsidP="000569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б) перечень и мощность </w:t>
      </w:r>
      <w:proofErr w:type="spellStart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которые могут быть присоединены к устройствам противоаварийной автоматики;</w:t>
      </w:r>
    </w:p>
    <w:p w:rsidR="00056975" w:rsidRPr="001B4348" w:rsidRDefault="00056975" w:rsidP="000569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в) 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энергопринимающие</w:t>
      </w:r>
      <w:proofErr w:type="spellEnd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устройства;</w:t>
      </w:r>
    </w:p>
    <w:p w:rsidR="00056975" w:rsidRPr="001B4348" w:rsidRDefault="00056975" w:rsidP="000569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опии учредительных документов (Устав, учредительный договор, и т.п.) </w:t>
      </w:r>
    </w:p>
    <w:p w:rsidR="001B4348" w:rsidRPr="001B4348" w:rsidRDefault="00056975" w:rsidP="000569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B4348"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="001B4348"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писка из приказа (протокола) о назначении (избрании) руководителя</w:t>
      </w:r>
      <w:proofErr w:type="gramStart"/>
      <w:r w:rsidR="001B4348"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1B4348"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заверенная печатью организации</w:t>
      </w:r>
    </w:p>
    <w:p w:rsidR="00056975" w:rsidRPr="001B4348" w:rsidRDefault="001B4348" w:rsidP="000569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е) </w:t>
      </w:r>
      <w:r w:rsidR="00056975"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банковские реквизиты </w:t>
      </w:r>
    </w:p>
    <w:p w:rsidR="001B4348" w:rsidRPr="001B4348" w:rsidRDefault="001B4348" w:rsidP="000569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ж) копия свидетельства юридического лица</w:t>
      </w:r>
    </w:p>
    <w:p w:rsidR="001B4348" w:rsidRPr="001B4348" w:rsidRDefault="001B4348" w:rsidP="000569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) копия свидетельства о внесении в ЕГРЮЛ</w:t>
      </w:r>
    </w:p>
    <w:p w:rsidR="001B4348" w:rsidRPr="001B4348" w:rsidRDefault="001B4348" w:rsidP="000569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и) выписка из ЕГРЮЛ (полученная не позднее месяца от даты размещения заявки)</w:t>
      </w:r>
    </w:p>
    <w:p w:rsidR="00056975" w:rsidRPr="001B4348" w:rsidRDefault="001B4348" w:rsidP="000569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к)</w:t>
      </w:r>
      <w:r w:rsidR="00056975"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1B4348" w:rsidRPr="001B4348" w:rsidRDefault="001B4348" w:rsidP="000569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B7546C" w:rsidRDefault="00B7546C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7546C" w:rsidRDefault="00B7546C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4348" w:rsidRDefault="001B4348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6975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Перечень документов от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физических и юридических лиц (до 15 к</w:t>
      </w:r>
      <w:proofErr w:type="gramStart"/>
      <w:r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Вт</w:t>
      </w:r>
      <w:r w:rsidRPr="00056975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вкл</w:t>
      </w:r>
      <w:proofErr w:type="gramEnd"/>
      <w:r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ючительно) </w:t>
      </w:r>
      <w:r w:rsidRPr="00056975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прилагаемых к заявке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B4348" w:rsidRPr="00056975" w:rsidRDefault="001B4348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6975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B4348" w:rsidRPr="001B4348" w:rsidRDefault="001B4348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а) план расположения </w:t>
      </w:r>
      <w:proofErr w:type="spellStart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которые необходимо присоединить к электрическим сетям сетевой организации;</w:t>
      </w:r>
    </w:p>
    <w:p w:rsidR="001B4348" w:rsidRDefault="001B4348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б) перечень и мощность </w:t>
      </w:r>
      <w:proofErr w:type="spellStart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которые могут быть присоединены к устройствам противоаварийной автоматики;</w:t>
      </w:r>
    </w:p>
    <w:p w:rsidR="001B4348" w:rsidRPr="001B4348" w:rsidRDefault="001B4348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в) 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энергопринимающие</w:t>
      </w:r>
      <w:proofErr w:type="spellEnd"/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устройства;</w:t>
      </w:r>
    </w:p>
    <w:p w:rsidR="001B4348" w:rsidRDefault="001B4348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1B434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E7D41" w:rsidRPr="001B4348" w:rsidRDefault="002E7D41" w:rsidP="001B434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E7D41" w:rsidRPr="001B4348" w:rsidSect="00EC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372"/>
    <w:multiLevelType w:val="multilevel"/>
    <w:tmpl w:val="3D2E9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9B5"/>
    <w:rsid w:val="00056975"/>
    <w:rsid w:val="001207FB"/>
    <w:rsid w:val="00145AC3"/>
    <w:rsid w:val="001B4348"/>
    <w:rsid w:val="002651FF"/>
    <w:rsid w:val="002E7D41"/>
    <w:rsid w:val="003157C0"/>
    <w:rsid w:val="00410D8F"/>
    <w:rsid w:val="005D2502"/>
    <w:rsid w:val="006239B5"/>
    <w:rsid w:val="006A107F"/>
    <w:rsid w:val="008B4E20"/>
    <w:rsid w:val="009168F1"/>
    <w:rsid w:val="00A77D0A"/>
    <w:rsid w:val="00B4607A"/>
    <w:rsid w:val="00B7546C"/>
    <w:rsid w:val="00BE6BC5"/>
    <w:rsid w:val="00DD1FC3"/>
    <w:rsid w:val="00EC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66"/>
  </w:style>
  <w:style w:type="paragraph" w:styleId="4">
    <w:name w:val="heading 4"/>
    <w:basedOn w:val="a"/>
    <w:link w:val="40"/>
    <w:uiPriority w:val="9"/>
    <w:qFormat/>
    <w:rsid w:val="006A10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A107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6A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A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10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07F"/>
  </w:style>
  <w:style w:type="paragraph" w:customStyle="1" w:styleId="s9">
    <w:name w:val="s_9"/>
    <w:basedOn w:val="a"/>
    <w:rsid w:val="0005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2651F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2651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7">
    <w:name w:val="Основной текст_"/>
    <w:basedOn w:val="a0"/>
    <w:link w:val="2"/>
    <w:rsid w:val="002651F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7"/>
    <w:rsid w:val="002651FF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9pt">
    <w:name w:val="Основной текст + 9 pt;Не полужирный"/>
    <w:basedOn w:val="a7"/>
    <w:rsid w:val="002651FF"/>
    <w:rPr>
      <w:rFonts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inovskoe.ru" TargetMode="External"/><Relationship Id="rId5" Type="http://schemas.openxmlformats.org/officeDocument/2006/relationships/hyperlink" Target="http://base.garant.ru/704192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2015-05-22T08:08:00Z</cp:lastPrinted>
  <dcterms:created xsi:type="dcterms:W3CDTF">2015-05-22T05:19:00Z</dcterms:created>
  <dcterms:modified xsi:type="dcterms:W3CDTF">2015-05-22T11:54:00Z</dcterms:modified>
</cp:coreProperties>
</file>